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56"/>
          <w:szCs w:val="56"/>
          <w:rtl w:val="0"/>
        </w:rPr>
        <w:t xml:space="preserve">Die Siegessäule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6116320" cy="4409630"/>
            <wp:effectExtent b="0" l="0" r="0" t="0"/>
            <wp:docPr descr="isultati immagini per siegessaule" id="1" name="image01.jpg"/>
            <a:graphic>
              <a:graphicData uri="http://schemas.openxmlformats.org/drawingml/2006/picture">
                <pic:pic>
                  <pic:nvPicPr>
                    <pic:cNvPr descr="isultati immagini per siegessaule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409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Die Siegessäule ist eines der wichtigsten Monumente in Berlin. Das Monument steht im Zentrum von Tiergarten.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Es wurde um 1864 von Heinrich Strack entworfen und gedenkt des Sieges von Preußen im Deutsch – Dänischen Krieg. Die Siegessäule wurde am 2. September 1873 eingeweiht.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Die Statue ist aus Bronze gemacht und ist 8,3 m groß und wiegt 35 Tonnen.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Nach dem Zweiten Weltkrieg wünschte Frankreich ihre Sprengung, allerdings stimmten die anderen Alliierten nicht zu.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Das Monument ist in Wim Wenders Film “Der Himmel über Berlin” zu sehen.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